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26 SächsSpielbG (Sachsen) — Online-Casinospielordnung</w:t>
      </w:r>
    </w:p>
    <w:p>
      <w:r>
        <w:rPr>
          <w:color w:val="555555"/>
          <w:sz w:val="18"/>
        </w:rPr>
        <w:t xml:space="preserve">Sächsisches Spielbankengesetz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Spiele, die Spielregeln und der Gewinnplan im Sinne des § 22 Absatz 5 sind in einer Online-Casinospielordnung zu regeln.</w:t>
      </w:r>
    </w:p>
    <w:p>
      <w:r>
        <w:t xml:space="preserve">(2) Die Online-Casinospielordnung bedarf der Zustimmung durch die Aufsichtsbehörde.</w:t>
      </w:r>
    </w:p>
    <w:p>
      <w:r>
        <w:t xml:space="preserve">(3) Die Online-Casinospielordnung ist unverzüglich an Änderungen der Rechtslage anzupassen und zur erneuten Zustimmung vorzulegen.</w:t>
      </w:r>
    </w:p>
    <w:p>
      <w:r>
        <w:rPr>
          <w:color w:val="555555"/>
          <w:sz w:val="17"/>
        </w:rPr>
        <w:t xml:space="preserve">Zitiervorschlag: § 26 SächsSpielbG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https://recht.nulegal.eu/gesetze/S%C3%A4chsSpielbG/26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26 SächsSpielbG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