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SächsSpielbG (Sachsen) — Widerruf der Erlaubnis</w:t>
      </w:r>
    </w:p>
    <w:p>
      <w:r>
        <w:rPr>
          <w:color w:val="555555"/>
          <w:sz w:val="18"/>
        </w:rPr>
        <w:t xml:space="preserve">Sächsisches Spielbankengesetz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Erlaubnis soll widerrufen werden, wenn</w:t>
      </w:r>
    </w:p>
    <w:p>
      <w:r>
        <w:t xml:space="preserve">1. sie durch arglistige Täuschung erlangt worden ist,</w:t>
      </w:r>
    </w:p>
    <w:p>
      <w:r>
        <w:t xml:space="preserve">2. der Spielbetrieb ohne Online-Casinospielordnung mit der nach § 26 Absatz 2 erforderlichen Zustimmung der Aufsichtsbehörde aufgenommen wurde,</w:t>
      </w:r>
    </w:p>
    <w:p>
      <w:r>
        <w:t xml:space="preserve">3. die Bestimmungen der Erlaubnis trotz vorheriger Beanstandung durch die zuständige Behörde wiederholt nicht beachtet worden sind,</w:t>
      </w:r>
    </w:p>
    <w:p>
      <w:r>
        <w:t xml:space="preserve">4. die Erfordernisse des Jugend- und Spielerschutzes, insbesondere nach den §§ 6 bis 6j des Glücksspielstaatsvertrages 2021 , trotz vorheriger Beanstandung durch die zuständige Behörde wiederholt nicht eingehalten worden sind,</w:t>
      </w:r>
    </w:p>
    <w:p>
      <w:r>
        <w:t xml:space="preserve">5. die Werbung nicht den Anforderungen nach § 5 des Glücksspielstaatsvertrages 2021 entsprochen hat,</w:t>
      </w:r>
    </w:p>
    <w:p>
      <w:r>
        <w:t xml:space="preserve">6. die Aufklärungspflicht nach § 7 des Glücksspielstaatsvertrages 2021 verletzt worden ist,</w:t>
      </w:r>
    </w:p>
    <w:p>
      <w:r>
        <w:t xml:space="preserve">7. ein sonstiger Grund eingetreten ist, der das Versagen der Erlaubnis rechtfertigen würde.</w:t>
      </w:r>
    </w:p>
    <w:p>
      <w:r>
        <w:rPr>
          <w:color w:val="555555"/>
          <w:sz w:val="17"/>
        </w:rPr>
        <w:t xml:space="preserve">Zitiervorschlag: § 21 SächsSpielbG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https://recht.nulegal.eu/gesetze/S%C3%A4chsSpielbG/21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