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Eingangsformel SächsSparkWVO (Sachsen)</w:t>
      </w:r>
    </w:p>
    <w:p>
      <w:r>
        <w:rPr>
          <w:color w:val="555555"/>
          <w:sz w:val="18"/>
        </w:rPr>
        <w:t xml:space="preserve">Verordnung des Sächsischen Staatsministeriums der Finanzen über die Wahl der Vertreter der Beschäftigten in den Verwaltungsräten der Sparkassen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Aufgrund von § 11 Abs. 4 des Sparkassengesetzes des Freistaates Sachsen (SächsSparkG) vom 7. Dezember 1993 (SächsGVBl. S. 1149) wird im Einvernehmen mit dem Sächsischen Staatsministerium des Innern verordnet:</w:t>
      </w:r>
    </w:p>
    <w:p>
      <w:r>
        <w:rPr>
          <w:color w:val="555555"/>
          <w:sz w:val="17"/>
        </w:rPr>
        <w:t xml:space="preserve">Zitiervorschlag: Eingangsformel SächsSparkWVO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https://recht.nulegal.eu/gesetze/S%C3%A4chsSparkWVO/eingangsformel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