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SächsSparkWVO (Sachsen) — Wählbarkeit</w:t>
      </w:r>
    </w:p>
    <w:p>
      <w:r>
        <w:rPr>
          <w:color w:val="555555"/>
          <w:sz w:val="18"/>
        </w:rPr>
        <w:t xml:space="preserve">Verordnung des Sächsischen Staatsministeriums der Finanzen über die Wahl der Vertreter der Beschäftigten in den Verwaltungsräten der Sparkassen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Wählbar sind Beschäftigte der Sparkasse, die am Wahltag das Wahlrecht zum Deutschen Bundestag besitzen und zum Mitglied des Personalrats der Sparkasse wählbar sind.</w:t>
      </w:r>
    </w:p>
    <w:p>
      <w:r>
        <w:t xml:space="preserve">(2) Nicht wählbar sind Mitglieder und stellvertretende Mitglieder des Vorstands der Sparkasse.</w:t>
      </w:r>
    </w:p>
    <w:p>
      <w:r>
        <w:rPr>
          <w:color w:val="555555"/>
          <w:sz w:val="17"/>
        </w:rPr>
        <w:t xml:space="preserve">Zitiervorschlag: § 2 SächsSparkWVO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https://recht.nulegal.eu/gesetze/S%C3%A4chsSparkWVO/2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SächsSparkWVO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