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SächsSpG (Sachsen) — Zusammensetzung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Anteilseignerversammlung ist die Vertretung der nach § 53 am Stammkapital Beteiligten. Die Gewichtung der Stimmen der Vertreter der Anteilseigner (Mitglieder) bemisst sich nach der Höhe ihrer Beteiligungen am Stammkapital. Die Stimmabgabe hat für jeden Anteilseigner einheitlich zu erfolgen.</w:t>
      </w:r>
    </w:p>
    <w:p>
      <w:r>
        <w:t xml:space="preserve">(2) Eine Beteiligung am Stammkapital in Höhe von 500 EUR entspricht einer Stimme.</w:t>
      </w:r>
    </w:p>
    <w:p>
      <w:r>
        <w:t xml:space="preserve">(3) Die Anteilseigner werden jeweils durch zumindest ein Mitglied vertreten.</w:t>
      </w:r>
    </w:p>
    <w:p>
      <w:r>
        <w:t xml:space="preserve">(4) Der Vorsitzende und der stellvertretende Vorsitzende der Anteilseignerversammlung werden mit der Mehrheit der anwesenden Stimmen für höchstens fünf Jahre gewählt. Die Vertreter der kommunalen Anteilseigner stellen den Vorsitzenden.</w:t>
      </w:r>
    </w:p>
    <w:p>
      <w:r>
        <w:t xml:space="preserve">(5) Die Vertreter der Anteilseigner handeln nach ihrer freien, nur durch die Rücksicht auf das öffentliche Wohl und die Aufgaben der Finanzgruppe bestimmten Überzeugung. Sie sind an Weisungen nicht gebunden.</w:t>
      </w:r>
    </w:p>
    <w:p>
      <w:r>
        <w:rPr>
          <w:color w:val="555555"/>
          <w:sz w:val="17"/>
        </w:rPr>
        <w:t xml:space="preserve">Zitiervorschlag: § 55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SächsSpG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