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SächsSpG (Sachsen) — Name, Rechtsform, Träger, Sitz, Satzung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Freistaat Sachsen errichtet die Sachsen-Finanzgruppe (Finanzgruppe) als rechtsfähige Körperschaft des öffentlichen Rechts. Träger sind die am Stammkapital beteiligten juristischen Personen des öffentlichen Rechts.</w:t>
      </w:r>
    </w:p>
    <w:p>
      <w:r>
        <w:t xml:space="preserve">(2) Die Finanzgruppe hat ihren Sitz in Leipzig. Sie kann ihren Sitz durch Satzung ändern. Ein durch Satzung bestimmter Sitz der Finanzgruppe muss im Gebiet ihrer Träger liegen.</w:t>
      </w:r>
    </w:p>
    <w:p>
      <w:r>
        <w:t xml:space="preserve">(3) Im Rahmen dieses Gesetzes sind die weiteren Rechtsverhältnisse der Finanzgruppe durch Satzung zu regeln. Die Satzung und ihre Änderungen sind im Sächsischen Amtsblatt zu veröffentlichen.</w:t>
      </w:r>
    </w:p>
    <w:p>
      <w:r>
        <w:rPr>
          <w:color w:val="555555"/>
          <w:sz w:val="17"/>
        </w:rPr>
        <w:t xml:space="preserve">Zitiervorschlag: § 49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https://recht.nulegal.eu/gesetze/S%C3%A4chsSpG/49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