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32 SächsSpG (Sachsen) — Durchführungsbestimmungen</w:t>
      </w:r>
    </w:p>
    <w:p>
      <w:r>
        <w:rPr>
          <w:color w:val="555555"/>
          <w:sz w:val="18"/>
        </w:rPr>
        <w:t xml:space="preserve">Sächsisches Sparkassengesetz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Das Staatsministerium der Finanzen wird ermächtigt, im Interesse der Sicherheit der den Sparkassen anvertrauten Vermögenswerte und zur Erfüllung des öffentlichen Auftrags durch Rechtsverordnung für die Sparkassen Bestimmungen zu treffen über</w:t>
      </w:r>
    </w:p>
    <w:p>
      <w:r>
        <w:t xml:space="preserve">1. die Geschäfte der Sparkassen (Verbindlichkeiten, Anlage der Sparkassenbestände, Beleihungsgrundsätze, sonstige Geschäfte) und die Zulassung von Ausnahmen;</w:t>
      </w:r>
    </w:p>
    <w:p>
      <w:r>
        <w:t xml:space="preserve">2. die Grundsätze für die verbindliche Zusammenarbeit der Sparkassen in bestimmten Geschäftsbereichen mit ihren Verbundeinrichtungen oder Verbundpartnern, wenn dies für die Gewährleistung der Funktionsfähigkeit des Sparkassenverbundes geboten ist; Entsprechendes gilt für überregionale Einrichtungen oder Verbundeinrichtungen in der Europäischen Union;</w:t>
      </w:r>
    </w:p>
    <w:p>
      <w:r>
        <w:t xml:space="preserve">3. die Zuständigkeit des Vorstands und des Kreditausschusses im Kreditgeschäft;</w:t>
      </w:r>
    </w:p>
    <w:p>
      <w:r>
        <w:t xml:space="preserve">4. die Übertragung von Geschäftsführungs- und Vertretungsbefugnissen sowie über die Abgabe und die Annahme rechtsgeschäftlicher Erklärungen;</w:t>
      </w:r>
    </w:p>
    <w:p>
      <w:r>
        <w:t xml:space="preserve">5. das Verfahren, Sparbücher für kraftlos zu erklären;</w:t>
      </w:r>
    </w:p>
    <w:p>
      <w:r>
        <w:t xml:space="preserve">6. die Durchführung der Jahresabschlussprüfung und der Prüfung in besonderen Fällen.</w:t>
      </w:r>
    </w:p>
    <w:p>
      <w:r>
        <w:t xml:space="preserve">(2) Die Sparkassenaufsichtsbehörde kann die zur Durchführung dieses Gesetzes und der zu ihm erlassenen Rechtsverordnungen erforderlichen Verwaltungsvorschriften erlassen.</w:t>
      </w:r>
    </w:p>
    <w:p>
      <w:r>
        <w:rPr>
          <w:color w:val="555555"/>
          <w:sz w:val="17"/>
        </w:rPr>
        <w:t xml:space="preserve">Zitiervorschlag: § 32 SächsSpG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https://recht.nulegal.eu/gesetze/S%C3%A4chsSpG/32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