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SächsSpG (Sachsen) — Geschäftsjahr</w:t>
      </w:r>
    </w:p>
    <w:p>
      <w:r>
        <w:rPr>
          <w:color w:val="555555"/>
          <w:sz w:val="18"/>
        </w:rPr>
        <w:t xml:space="preserve">Sächsisches Sparkassengesetz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Geschäftsjahr ist das Kalenderjahr.</w:t>
      </w:r>
    </w:p>
    <w:p>
      <w:r>
        <w:rPr>
          <w:color w:val="555555"/>
          <w:sz w:val="17"/>
        </w:rPr>
        <w:t xml:space="preserve">Zitiervorschlag: § 25 SächsSpG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https://recht.nulegal.eu/gesetze/S%C3%A4chsSpG/25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