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SächsSpG (Sachsen) — Vorstand, Angestellte, Arbeiter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des Vorstands und die stellvertretenden Mitglieder des Vorstands nach § 19 Abs. 1 Satz 2 sowie die bei der Sparkasse beschäftigten Angestellten und Arbeiter sind Beschäftigte der Sparkasse.</w:t>
      </w:r>
    </w:p>
    <w:p>
      <w:r>
        <w:t xml:space="preserve">(2) Der Vorstand entscheidet über die Einstellung, Ein- und Höhergruppierung sowie die Entlassung der Angestellten und Arbeiter.</w:t>
      </w:r>
    </w:p>
    <w:p>
      <w:r>
        <w:t xml:space="preserve">(3) Dienstvorgesetzter der Mitglieder des Vorstands ist der Vorsitzende des Verwaltungsrats. Dienstvorgesetzter der übrigen Beschäftigten der Sparkasse ist der Vorstand.</w:t>
      </w:r>
    </w:p>
    <w:p>
      <w:r>
        <w:t xml:space="preserve">(4) § 23 gilt für die bei der Sparkasse tätigen Angestellten und Arbeiter entsprechend.</w:t>
      </w:r>
    </w:p>
    <w:p>
      <w:r>
        <w:rPr>
          <w:color w:val="555555"/>
          <w:sz w:val="17"/>
        </w:rPr>
        <w:t xml:space="preserve">Zitiervorschlag: § 24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https://recht.nulegal.eu/gesetze/S%C3%A4chsSpG/24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