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SächsSpG (Sachsen) — Berichtspflicht</w:t>
      </w:r>
    </w:p>
    <w:p>
      <w:r>
        <w:rPr>
          <w:color w:val="555555"/>
          <w:sz w:val="18"/>
        </w:rPr>
        <w:t xml:space="preserve">Sächsisches Sparkassengesetz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hat dem Verwaltungsrat regelmäßig und rechtzeitig zu berichten über</w:t>
      </w:r>
    </w:p>
    <w:p>
      <w:r>
        <w:t xml:space="preserve">1. die Geschäftspolitik und andere grundsätzliche Fragen der künftigen Geschäftsführung;</w:t>
      </w:r>
    </w:p>
    <w:p>
      <w:r>
        <w:t xml:space="preserve">2. den Gang der Geschäfte und die Lage der Sparkasse;</w:t>
      </w:r>
    </w:p>
    <w:p>
      <w:r>
        <w:t xml:space="preserve">3. Geschäfte und Entwicklungen, die für die Sparkasse von besonderer Bedeutung sein können.</w:t>
      </w:r>
    </w:p>
    <w:p>
      <w:r>
        <w:t xml:space="preserve">(2) Der Vorstand legt dem Verwaltungsrat rechtzeitig vor Beginn des Geschäftsjahrs eine genehmigungspflichtige Unternehmensplanung für dieses Geschäftsjahr vor.</w:t>
      </w:r>
    </w:p>
    <w:p>
      <w:r>
        <w:t xml:space="preserve">(3) Dem Vorsitzenden des Verwaltungsrats ist aus sonstigen wichtigen Anlässen zu berichten. Der Vorsitzende hat die anderen Mitglieder des Verwaltungsrats über diese Berichte spätestens in der nächsten Sitzung zu unterrichten.</w:t>
      </w:r>
    </w:p>
    <w:p>
      <w:r>
        <w:t xml:space="preserve">(4) Der Verwaltungsrat und bei Verbundsparkassen zusätzlich der Vorstand der Finanzgruppe kann vom Vorstand jederzeit einen Bericht über Angelegenheiten der Sparkasse verlangen.</w:t>
      </w:r>
    </w:p>
    <w:p>
      <w:r>
        <w:t xml:space="preserve">(5) Die Berichte haben den Grundsätzen einer gewissenhaften und getreuen Rechenschaft zu entsprechen.</w:t>
      </w:r>
    </w:p>
    <w:p>
      <w:r>
        <w:rPr>
          <w:color w:val="555555"/>
          <w:sz w:val="17"/>
        </w:rPr>
        <w:t xml:space="preserve">Zitiervorschlag: § 21 SächsSpG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