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SächsSpG (Sachsen) — Tätigkeitsdauer</w:t>
      </w:r>
    </w:p>
    <w:p>
      <w:r>
        <w:rPr>
          <w:color w:val="555555"/>
          <w:sz w:val="18"/>
        </w:rPr>
        <w:t xml:space="preserve">Sächsisches Sparkassengesetz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Ablauf ihrer Amtszeit üben die bisherigen Mitglieder des Verwaltungsrats und die Stellvertreter ihre Tätigkeit bis zum Zusammentreten des neugewählten Verwaltungsrats weiter aus.</w:t>
      </w:r>
    </w:p>
    <w:p>
      <w:r>
        <w:rPr>
          <w:color w:val="555555"/>
          <w:sz w:val="17"/>
        </w:rPr>
        <w:t xml:space="preserve">Zitiervorschlag: § 13 SächsSpG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https://recht.nulegal.eu/gesetze/S%C3%A4chsSpG/13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