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SächsSpAEG (Sachsen) — Eingliederungsbehörden</w:t>
      </w:r>
    </w:p>
    <w:p>
      <w:r>
        <w:rPr>
          <w:color w:val="555555"/>
          <w:sz w:val="18"/>
        </w:rPr>
        <w:t xml:space="preserve">Sächsisches Spätaussiedlereingliederungsgesetz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Aufgaben nach § 1 obliegen den Eingliederungsbehörden.</w:t>
      </w:r>
    </w:p>
    <w:p>
      <w:r>
        <w:t xml:space="preserve">(2) Eingliederungsbehörden sind</w:t>
      </w:r>
    </w:p>
    <w:p>
      <w:r>
        <w:t xml:space="preserve">1. das Staatsministerium des Innern als oberste Eingliederungsbehörde,</w:t>
      </w:r>
    </w:p>
    <w:p>
      <w:r>
        <w:t xml:space="preserve">2. die Landesdirektion Sachsen als mittlere Eingliederungsbehörde und</w:t>
      </w:r>
    </w:p>
    <w:p>
      <w:r>
        <w:t xml:space="preserve">3. die Landratsämter und Bürgermeisterämter der Kreisfreien Städte als untere Eingliederungsbehörden.</w:t>
      </w:r>
    </w:p>
    <w:p>
      <w:r>
        <w:t xml:space="preserve">(3) Die den Landkreisen und Kreisfreien Städten übertragenen Aufgaben der unteren Eingliederungsbehörden sind Pflichtaufgaben zur Erfüllung nach Weisung; das Weisungsrecht ist nicht beschränkt. Fachaufsichtsbehörde ist jede der in Absatz 2 Nr. 1 und 2 genannten Behörden.</w:t>
      </w:r>
    </w:p>
    <w:p>
      <w:r>
        <w:t xml:space="preserve">(4) Die oberste Eingliederungsbehörde wird ermächtigt, durch Rechtsverordnung Aufgaben der unteren Eingliederungsbehörde den mittleren Eingliederungsbehörden oder einzelnen unteren Eingliederungsbehörden auch für das Gebiet anderer unterer Eingliederungsbehörden zuzuweisen.</w:t>
      </w:r>
    </w:p>
    <w:p>
      <w:r>
        <w:rPr>
          <w:color w:val="555555"/>
          <w:sz w:val="17"/>
        </w:rPr>
        <w:t xml:space="preserve">Zitiervorschlag: § 2 SächsSpAEG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https://recht.nulegal.eu/gesetze/S%C3%A4chsSpAEG/2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SächsSpAEG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