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1a SächsSpAEG (Sachsen) — Berechtigte</w:t>
      </w:r>
    </w:p>
    <w:p>
      <w:r>
        <w:rPr>
          <w:color w:val="555555"/>
          <w:sz w:val="18"/>
        </w:rPr>
        <w:t xml:space="preserve">Sächsisches Spätaussiedlereingliederungsgesetz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Aufgenommen werden</w:t>
      </w:r>
    </w:p>
    <w:p>
      <w:r>
        <w:t xml:space="preserve">1. Spätaussiedler (§ 4 BVFG ),</w:t>
      </w:r>
    </w:p>
    <w:p>
      <w:r>
        <w:t xml:space="preserve">2. ihre Ehegatten und Abkömmlinge, wenn sie die Aussiedlungsgebiete im Wege des Aufnahmeverfahrens verlassen haben (§ 7 Abs. 2 BVFG ), sowie</w:t>
      </w:r>
    </w:p>
    <w:p>
      <w:r>
        <w:t xml:space="preserve">3. ihre Familienangehörigen, wenn sie ohne die Voraussetzung nach § 7 Abs. 2 BVFG zu erfüllen, gemeinsam mit dem Spätaussiedler eingetroffen sind und in das Verteilungsverfahren einbezogen wurden (§ 8 Abs. 2 BVFG ).</w:t>
      </w:r>
    </w:p>
    <w:p>
      <w:r>
        <w:rPr>
          <w:color w:val="555555"/>
          <w:sz w:val="17"/>
        </w:rPr>
        <w:t xml:space="preserve">Zitiervorschlag: § 1a SächsSpAEG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https://recht.nulegal.eu/gesetze/S%C3%A4chsSpAEG/1a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1a SächsSpAEG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