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SächsSpAEG (Sachsen) — Geltungsbereich</w:t>
      </w:r>
    </w:p>
    <w:p>
      <w:r>
        <w:rPr>
          <w:color w:val="555555"/>
          <w:sz w:val="18"/>
        </w:rPr>
        <w:t xml:space="preserve">Sächsisches Spätaussiedlereingliederungsgesetz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regelt</w:t>
      </w:r>
    </w:p>
    <w:p>
      <w:r>
        <w:t xml:space="preserve">1. die Aufnahme, Unterbringung und Eingliederung von Spätaussiedlern und deren Familienangehörigen, die der Freistaat Sachsen nach Maßgabe des Gesetzes über die Angelegenheiten der Vertriebenen und Flüchtlinge ( Bundesvertriebenengesetz – BVFG ) in der Fassung der Bekanntmachung vom 2. Juni 1993 (BGBl. I S. 829), zuletzt geändert durch Artikel 30 des Gesetzes vom 24. März 1997 (BGBl. I S. 594, 708), aufzunehmen hat, und</w:t>
      </w:r>
    </w:p>
    <w:p>
      <w:r>
        <w:t xml:space="preserve">2. die Durchführung des Bundesvertriebenengesetzes im übrigen und anderer Kriegsfolgengesetze.</w:t>
      </w:r>
    </w:p>
    <w:p>
      <w:r>
        <w:rPr>
          <w:color w:val="555555"/>
          <w:sz w:val="17"/>
        </w:rPr>
        <w:t xml:space="preserve">Zitiervorschlag: § 1 SächsSpAEG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https://recht.nulegal.eu/gesetze/S%C3%A4chsSpAEG/1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