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SächsSozAnerkVO (Sachsen)</w:t>
      </w:r>
    </w:p>
    <w:p>
      <w:r>
        <w:rPr>
          <w:color w:val="555555"/>
          <w:sz w:val="18"/>
        </w:rPr>
        <w:t xml:space="preserve">Sächsische Sozialanerkennungsverordnung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Aufgrund von § 6 des Gesetzes über die staatliche Anerkennung von Absolventen mit Diplom oder Bachelor in den Fachgebieten des Sozialwesens oder der Heilpädagogik im Freistaat Sachsen (SächsSozAnerkG ) vom 13. Dezember 1996 (SächsGVBl. S. 501), das zuletzt durch Artikel 2 Abs. 13 des Gesetzes vom 19. Mai 2010 (SächsGVBl. S. 142, 144) geändert worden ist, wird im Einvernehmen mit dem Staatsministerium für Wissenschaft und Kunst verordnet:</w:t>
      </w:r>
    </w:p>
    <w:p>
      <w:r>
        <w:rPr>
          <w:color w:val="555555"/>
          <w:sz w:val="17"/>
        </w:rPr>
        <w:t xml:space="preserve">Zitiervorschlag: Eingangsformel SächsSozAnerkVO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https://recht.nulegal.eu/gesetze/S%C3%A4chsSozAnerkVO/eingangsformel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