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SächsSozAnerkVO (Sachsen) — Eignungsprüfung</w:t>
      </w:r>
    </w:p>
    <w:p>
      <w:r>
        <w:rPr>
          <w:color w:val="555555"/>
          <w:sz w:val="18"/>
        </w:rPr>
        <w:t xml:space="preserve">Sächsische Sozialanerkennungsverordnung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Eignungsprüfung gemäß § 11 Absatz 1 des Sächsischen Berufsqualifikationsfeststellungsgesetzes findet an einer Fachhochschule im Freistaat Sachsen oder an der Berufsakademie Sachsen statt. Sie soll je Kandidat 30 und darf je Kandidat höchstens 60 Minuten dauern. § 3 Absatz 2, 3 Satz 1 und Absatz 4 gilt entsprechend. Näheres zur Durchführung der Eignungsprüfung bestimmt jede Fachhochschule oder die Berufsakademie Sachsen.</w:t>
      </w:r>
    </w:p>
    <w:p>
      <w:r>
        <w:rPr>
          <w:color w:val="555555"/>
          <w:sz w:val="17"/>
        </w:rPr>
        <w:t xml:space="preserve">Zitiervorschlag: § 5 SächsSozAnerkVO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https://recht.nulegal.eu/gesetze/S%C3%A4chsSozAnerkVO/5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SächsSozAnerkVO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