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7b SächsSozAnerkG (Sachsen) — Übergangsregelung</w:t>
      </w:r>
    </w:p>
    <w:p>
      <w:r>
        <w:rPr>
          <w:color w:val="555555"/>
          <w:sz w:val="18"/>
        </w:rPr>
        <w:t xml:space="preserve">Sächsisches Sozialanerkennungsgesetz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Bis zum Inkrafttreten der Rechtsverordnung nach § 5 Absatz 1 Nummer 4 ist die Hochschule für Technik, Wirtschaft und Kultur Leipzig (FH) für das Berufspraktikum und das Kolloquium nach § 2 Abs. 1, die Feststellung der Gleichwertigkeit der Ausbildung nach § 2 Abs. 2 und die Durchführung von Ausgleichsmaßnahmen nach § 11 SächsBQFG zuständig. Für zum Zeitpunkt des Inkrafttretens der Rechtsverordnung nach § 5 Absatz 1 Nummer 4 bereits anhängige Verfahren im Sinne von Satz 1 bleibt die Hochschule für Technik, Wirtschaft und Kultur Leipzig (FH) bis zum Abschluss der Verfahren zuständig.</w:t>
      </w:r>
    </w:p>
    <w:p>
      <w:r>
        <w:rPr>
          <w:color w:val="555555"/>
          <w:sz w:val="17"/>
        </w:rPr>
        <w:t xml:space="preserve">Zitiervorschlag: § 7b SächsSozAnerkG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https://recht.nulegal.eu/gesetze/S%C3%A4chsSozAnerkG/7b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