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SächsSozAnerkG (Sachsen) — Überleitungsvorschriften</w:t>
      </w:r>
    </w:p>
    <w:p>
      <w:r>
        <w:rPr>
          <w:color w:val="555555"/>
          <w:sz w:val="18"/>
        </w:rPr>
        <w:t xml:space="preserve">Sächsisches Sozialanerkennungsgesetz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Staatliche Anerkennungen als Sozialarbeiter, Sozialpädagoge, Kindheitspädagoge oder Heilpädagoge, die nach einer entsprechenden Ausbildung in einem anderen Land der Bundesrepublik Deutschland nach dessen Rechts- oder Verwaltungsvorschriften von der zuständigen Behörde oder Stelle erteilt wurden, sind der staatlichen Anerkennung nach diesem Gesetz gleichgestellt.</w:t>
      </w:r>
    </w:p>
    <w:p>
      <w:r>
        <w:rPr>
          <w:color w:val="555555"/>
          <w:sz w:val="17"/>
        </w:rPr>
        <w:t xml:space="preserve">Zitiervorschlag: § 7 SächsSozAnerkG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https://recht.nulegal.eu/gesetze/S%C3%A4chsSozAnerkG/7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