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SächsSozAnerkG (Sachsen) — Persönliche Eignung, Rücknahme und Widerruf der staatlichen Anerkennung</w:t>
      </w:r>
    </w:p>
    <w:p>
      <w:r>
        <w:rPr>
          <w:color w:val="555555"/>
          <w:sz w:val="18"/>
        </w:rPr>
        <w:t xml:space="preserve">Sächsisches Sozialanerkennungsgesetz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Persönlich geeignet ist, wer die für eine Tätigkeit in dem angestrebten Beruf erforderliche Zuverlässigkeit besitzt.</w:t>
      </w:r>
    </w:p>
    <w:p>
      <w:r>
        <w:t xml:space="preserve">(2) Die staatliche Anerkennung ist zurückzunehmen, wenn nachträglich bekannt wird, daß die Voraussetzungen für ihre Erteilung nicht vorgelegen haben. Sie ist zu widerrufen, wenn das Fehlen der Eignung nach Absatz 1 nachträglich eintritt.</w:t>
      </w:r>
    </w:p>
    <w:p>
      <w:r>
        <w:t xml:space="preserve">(3) Wird die staatliche Anerkennung zurückgenommen oder widerrufen, ist die Anerkennungsurkunde einzuziehen.</w:t>
      </w:r>
    </w:p>
    <w:p>
      <w:r>
        <w:rPr>
          <w:color w:val="555555"/>
          <w:sz w:val="17"/>
        </w:rPr>
        <w:t xml:space="preserve">Zitiervorschlag: § 3 SächsSozAnerkG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https://recht.nulegal.eu/gesetze/S%C3%A4chsSozAnerkG/3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