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SächsSorbG (Sachsen) — Zakoń wo prawach Serbow w Swobodnym staće Sakskej (Sakski serbski zakoń – SSZ)</w:t>
      </w:r>
    </w:p>
    <w:p>
      <w:r>
        <w:rPr>
          <w:color w:val="555555"/>
          <w:sz w:val="18"/>
        </w:rPr>
        <w:t xml:space="preserve">Sächsisches Sorbengesetz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 dnja 31. měrca 1999</w:t>
      </w:r>
    </w:p>
    <w:p>
      <w:r>
        <w:t xml:space="preserve">Sakski krajny sejm je dnja 20. januara 1999 slědowacy zakoń wobzamknył:</w:t>
      </w:r>
    </w:p>
    <w:p>
      <w:r>
        <w:rPr>
          <w:color w:val="555555"/>
          <w:sz w:val="17"/>
        </w:rPr>
        <w:t xml:space="preserve">Zitiervorschlag: Volltext SächsSorbG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https://recht.nulegal.eu/gesetze/S%C3%A4chsSorbG/volltext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