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SächsSorbG (Sachsen) — Sorbische Farben und Hymne</w:t>
      </w:r>
    </w:p>
    <w:p>
      <w:r>
        <w:rPr>
          <w:color w:val="555555"/>
          <w:sz w:val="18"/>
        </w:rPr>
        <w:t xml:space="preserve">Sächsisches Sorbengesetz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Farben und Wappen der Sorben können im sorbischen Siedlungsgebiet gleichberechtigt neben den Landesfarben und dem Landeswappen verwendet werden. Die sorbischen Farben sind Blau-Rot-Weiß.</w:t>
      </w:r>
    </w:p>
    <w:p>
      <w:r>
        <w:t xml:space="preserve">(2) Die sorbische Hymne kann im sorbischen Siedlungsgebiet gleichberechtigt verwendet werden.</w:t>
      </w:r>
    </w:p>
    <w:p>
      <w:r>
        <w:rPr>
          <w:color w:val="555555"/>
          <w:sz w:val="17"/>
        </w:rPr>
        <w:t xml:space="preserve">Zitiervorschlag: § 4 SächsSorbG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https://recht.nulegal.eu/gesetze/S%C3%A4chsSorbG/4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