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SächsSorbG (Sachsen) — Recht auf sorbische Identität</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im Freistaat Sachsen lebenden Bürger sorbischer Volkszugehörigkeit sind gleichberechtigter Teil des Staatsvolkes.</w:t>
      </w:r>
    </w:p>
    <w:p>
      <w:r>
        <w:t xml:space="preserve">(2) Das sorbische Volk und jeder Sorbe haben das Recht, ihre ethnische, kulturelle und sprachliche Identität frei zum Ausdruck zu bringen, zu bewahren und weiterzuentwickeln.</w:t>
      </w:r>
    </w:p>
    <w:p>
      <w:r>
        <w:t xml:space="preserve">(3) Das sorbische Volk und jeder Sorbe haben das Recht auf Schutz, Erhaltung und Pflege ihrer angestammten Heimat und ihrer Identität. Der Freistaat Sachsen, die Landkreise, Gemeindeverbände und Gemeinden im sorbischen Siedlungsgebiet gewährleisten und fördern Bedingungen, die es den Bürgern sorbischer Volkszugehörigkeit ermöglichen, ihre Sprache und Traditionen sowie ihr kulturelles Erbe als wesentliche Bestandteile ihrer Identität zu bewahren und weiterzuentwickeln.</w:t>
      </w:r>
    </w:p>
    <w:p>
      <w:r>
        <w:rPr>
          <w:color w:val="555555"/>
          <w:sz w:val="17"/>
        </w:rPr>
        <w:t xml:space="preserve">Zitiervorschlag: § 2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