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SächsSorbG (Sachsen) — Inkrafttreten und Außerkrafttreten</w:t>
      </w:r>
    </w:p>
    <w:p>
      <w:r>
        <w:rPr>
          <w:color w:val="555555"/>
          <w:sz w:val="18"/>
        </w:rPr>
        <w:t xml:space="preserve">Sächsisches Sorbengesetz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 Gleichzeitig treten das Gesetz zur Wahrung der Rechte der sorbischen Bevölkerung vom 23. März 1948 (Gesetz- und Verordnungsblatt Land Sachsen S. 191), soweit es nach Maßgabe des Artikels 3 des Rechtsbereinigungsgesetzes des Freistaates Sachsen vom 17. April 1998 (SächsGVBl. S. 151, 152) fortgilt, § 3 des Vorläufigen Verwaltungsverfahrensgesetzes für den Freistaat Sachsen ( SächsVwVfG ) vom 21. Januar 1993 (SächsGVBl. S. 74), geändert durch § 22 des Gesetzes vom 19. April 1994 (SächsGVBl. S. 777, 781), und § 3 des Gesetzes zur Ausführung verfahrensrechtlicher und grundstücksrechtlicher Vorschriften im Geschäftsbereich des Staatsministeriums der Justiz (Justizausführungsgesetz – JustAG) vom 12. Dezember 1997 (SächsGVBl. S. 638) außer Kraft.</w:t>
      </w:r>
    </w:p>
    <w:p>
      <w:r>
        <w:t xml:space="preserve">Das vorstehende Gesetz wird hiermit ausgefertigt und ist zu verkünden.</w:t>
      </w:r>
    </w:p>
    <w:p>
      <w:r>
        <w:t xml:space="preserve">Das vorstehende Gesetz wird hiermit ausgefertigt und ist zu verkünden. Bautzen, den 31. März 1999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Wissenschaft und Kunst</w:t>
      </w:r>
    </w:p>
    <w:p>
      <w:r>
        <w:t xml:space="preserve">Prof. Dr. Hans Joachim Meyer</w:t>
      </w:r>
    </w:p>
    <w:p>
      <w:r>
        <w:rPr>
          <w:color w:val="555555"/>
          <w:sz w:val="17"/>
        </w:rPr>
        <w:t xml:space="preserve">Zitiervorschlag: § 17 SächsSorbG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https://recht.nulegal.eu/gesetze/S%C3%A4chsSorbG/17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