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SächsSorbG (Sachsen) — Verkündung</w:t>
      </w:r>
    </w:p>
    <w:p>
      <w:r>
        <w:rPr>
          <w:color w:val="555555"/>
          <w:sz w:val="18"/>
        </w:rPr>
        <w:t xml:space="preserve">Sächsisches Sorbengesetz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wird in deutscher und obersorbischer Sprache verkündet.</w:t>
      </w:r>
    </w:p>
    <w:p>
      <w:r>
        <w:rPr>
          <w:color w:val="555555"/>
          <w:sz w:val="17"/>
        </w:rPr>
        <w:t xml:space="preserve">Zitiervorschlag: § 16 SächsSorbG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https://recht.nulegal.eu/gesetze/S%C3%A4chsSorbG/16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