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SächsSorbG (Sachsen) — Länderübergreifende Zusammenarbeit</w:t>
      </w:r>
    </w:p>
    <w:p>
      <w:r>
        <w:rPr>
          <w:color w:val="555555"/>
          <w:sz w:val="18"/>
        </w:rPr>
        <w:t xml:space="preserve">Sächsisches Sorbengesetz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Freistaat Sachsen fördert die Zusammengehörigkeit und unterstützt die länderübergreifenden Interessen der Sorben der Nieder- und Oberlausitz. Zu diesem Zweck arbeitet er mit dem Land Brandenburg zusammen.</w:t>
      </w:r>
    </w:p>
    <w:p>
      <w:r>
        <w:t xml:space="preserve">(2) Der Freistaat Sachsen bezieht die sorbischen Verbände und Institutionen in seine grenzüberschreitende Zusammenarbeit mit anderen Ländern und Staaten angemessen ein.</w:t>
      </w:r>
    </w:p>
    <w:p>
      <w:r>
        <w:rPr>
          <w:color w:val="555555"/>
          <w:sz w:val="17"/>
        </w:rPr>
        <w:t xml:space="preserve">Zitiervorschlag: § 15 SächsSorbG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https://recht.nulegal.eu/gesetze/S%C3%A4chsSorbG/15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