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SächsSorbG (Sachsen) — Medien</w:t>
      </w:r>
    </w:p>
    <w:p>
      <w:r>
        <w:rPr>
          <w:color w:val="555555"/>
          <w:sz w:val="18"/>
        </w:rPr>
        <w:t xml:space="preserve">Sächsisches Sorbengesetz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 ist bemüht, daß die sorbische Sprache und Kultur insbesondere durch sorbischsprachige Sendungen und Beiträge in den Medien angemessen berücksichtigt werden.</w:t>
      </w:r>
    </w:p>
    <w:p>
      <w:r>
        <w:rPr>
          <w:color w:val="555555"/>
          <w:sz w:val="17"/>
        </w:rPr>
        <w:t xml:space="preserve">Zitiervorschlag: § 14 SächsSorbG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https://recht.nulegal.eu/gesetze/S%C3%A4chsSorbG/14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SächsSorbG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