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SächsSorbG (Sachsen) — Wissenschaft</w:t>
      </w:r>
    </w:p>
    <w:p>
      <w:r>
        <w:rPr>
          <w:color w:val="555555"/>
          <w:sz w:val="18"/>
        </w:rPr>
        <w:t xml:space="preserve">Sächsisches Sorbengesetz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fördert die wissenschaftliche Forschung auf dem Gebiet der sorbischen Sprache, Geschichte und Kultur.</w:t>
      </w:r>
    </w:p>
    <w:p>
      <w:r>
        <w:t xml:space="preserve">(2) Der Freistaat Sachsen unterhält eine universitäre Forschungs- und Lehreinrichtung für Sorabistik an der Universität Leipzig.</w:t>
      </w:r>
    </w:p>
    <w:p>
      <w:r>
        <w:rPr>
          <w:color w:val="555555"/>
          <w:sz w:val="17"/>
        </w:rPr>
        <w:t xml:space="preserve">Zitiervorschlag: § 12 SächsSorbG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https://recht.nulegal.eu/gesetze/S%C3%A4chsSorbG/12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