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SächsSorbG (Sachsen) — Zweisprachige Beschilderung</w:t>
      </w:r>
    </w:p>
    <w:p>
      <w:r>
        <w:rPr>
          <w:color w:val="555555"/>
          <w:sz w:val="18"/>
        </w:rPr>
        <w:t xml:space="preserve">Sächsisches Sorbengesetz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Beschilderung im öffentlichen Raum durch die Behörden des Freistaates Sachsen und die seiner Aufsicht unterstehenden Körperschaften, Anstalten und Stiftungen des öffentlichen Rechts, insbesondere an öffentlichen Gebäuden, Einrichtungen, Straßen, Wegen, öffentlichen Plätzen und Brücken, soll im sorbischen Siedlungsgebiet in deutscher und sorbischer Sprache erfolgen.</w:t>
      </w:r>
    </w:p>
    <w:p>
      <w:r>
        <w:t xml:space="preserve">(2) Der Freistaat Sachsen und die seiner Aufsicht unterstehenden Körperschaften, Anstalten und Stiftungen des öffentlichen Rechts wirken darauf hin, daß auch andere Gebäude von öffentlicher Bedeutung im sorbischen Siedlungsgebiet in deutscher und sorbischer Sprache beschriftet werden.</w:t>
      </w:r>
    </w:p>
    <w:p>
      <w:r>
        <w:rPr>
          <w:color w:val="555555"/>
          <w:sz w:val="17"/>
        </w:rPr>
        <w:t xml:space="preserve">Zitiervorschlag: § 10 SächsSorbG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https://recht.nulegal.eu/gesetze/S%C3%A4chsSorbG/10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