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SächsSorbG (Sachsen) — Sorbische Volkszugehörigkeit</w:t>
      </w:r>
    </w:p>
    <w:p>
      <w:r>
        <w:rPr>
          <w:color w:val="555555"/>
          <w:sz w:val="18"/>
        </w:rPr>
        <w:t xml:space="preserve">Sächsisches Sorbengesetz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Zum sorbischen Volk gehört, wer sich zu ihm bekennt. Das Bekenntnis ist frei. Es darf weder bestritten noch nachgeprüft werden. Aus diesem Bekenntnis dürfen keine Nachteile erwachsen.</w:t>
      </w:r>
    </w:p>
    <w:p>
      <w:r>
        <w:rPr>
          <w:color w:val="555555"/>
          <w:sz w:val="17"/>
        </w:rPr>
        <w:t xml:space="preserve">Zitiervorschlag: § 1 SächsSorbG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https://recht.nulegal.eu/gesetze/S%C3%A4chsSorbG/1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