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63c SächsSchulG (Sachsen) — Einschränkung von Grundrechten</w:t>
      </w:r>
    </w:p>
    <w:p>
      <w:r>
        <w:rPr>
          <w:color w:val="555555"/>
          <w:sz w:val="18"/>
        </w:rPr>
        <w:t xml:space="preserve">Sächsisches 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Maßnahmen aufgrund von § 4c Absatz 3 Satz 2 und § 26a Absatz 3 kann das Recht auf körperliche Unversehrtheit (Artikel 2 Absatz 2 Satz 1 des Grundgesetzes , Artikel 16 Absatz 1 Satz 1 der Verfassung des Freistaates Sachsen ) und durch Maßnahmen aufgrund von § 3a Absatz 5, §§ 26a, 31, § 35b Absatz 1 Satz 2 und 3, §§ 50a, 62 Absatz 2 Nummer 1 und 3 sowie § 63a kann das Recht auf informationelle Selbstbestimmung (Artikel 2 Absatz 1 in Verbindung mit Artikel 1 Absatz 1 des Grundgesetzes , Artikel 33 der Verfassung des Freistaates Sachsen ) eingeschränkt werden.</w:t>
      </w:r>
    </w:p>
    <w:p>
      <w:r>
        <w:rPr>
          <w:color w:val="555555"/>
          <w:sz w:val="17"/>
        </w:rPr>
        <w:t xml:space="preserve">Zitiervorschlag: § 63c SächsSchulG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https://recht.nulegal.eu/gesetze/S%C3%A4chsSchulG/63c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63c SächsSchulG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