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SächsSchulG (Sachsen) — Grundsätze</w:t>
      </w:r>
    </w:p>
    <w:p>
      <w:r>
        <w:rPr>
          <w:color w:val="555555"/>
          <w:sz w:val="18"/>
        </w:rPr>
        <w:t xml:space="preserve">Sächsisches Schulgesetz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Schulträger hat die sächlichen Kosten der Schule zu tragen.</w:t>
      </w:r>
    </w:p>
    <w:p>
      <w:r>
        <w:t xml:space="preserve">(2) Die Schulträger sind berechtigt und verpflichtet, Schulen in öffentlicher Trägerschaft einzurichten und fortzuführen, wenn ein öffentliches Bedürfnis hierfür besteht.</w:t>
      </w:r>
    </w:p>
    <w:p>
      <w:r>
        <w:t xml:space="preserve">(3) Ein öffentliches Bedürfnis besteht, wenn entweder die Mindestschülerzahlen nach § 4a Absatz 1 einschließlich der auf seiner Grundlage erlassenen Rechtsverordnungen und Mindestzügigkeiten nach § 4a Absatz 3 für den Schulstandort zum Unterrichtsbeginn erreicht werden oder ein Ausnahmetatbestand nach § 4a Absatz 5 beziehungsweise nach § 4b gegeben ist.</w:t>
      </w:r>
    </w:p>
    <w:p>
      <w:r>
        <w:t xml:space="preserve">(4) Bei der Einrichtung, Änderung, Aufhebung und bei der Unterhaltung der Schulen nach § 3 Absatz 2 Satz 1 Nummer 1 und Satz 2 wirken der Schulträger und der Freistaat Sachsen nach den Vorschriften dieses Gesetzes zusammen.</w:t>
      </w:r>
    </w:p>
    <w:p>
      <w:r>
        <w:rPr>
          <w:color w:val="555555"/>
          <w:sz w:val="17"/>
        </w:rPr>
        <w:t xml:space="preserve">Zitiervorschlag: § 21 SächsSchulG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https://recht.nulegal.eu/gesetze/S%C3%A4chsSchulG/21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