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SächsSchiffVO (Sachsen) — Gekuppeltes Fahren, Schleppverbände</w:t>
      </w:r>
    </w:p>
    <w:p>
      <w:r>
        <w:rPr>
          <w:color w:val="555555"/>
          <w:sz w:val="18"/>
        </w:rPr>
        <w:t xml:space="preserve">Sächsische Schifffahrtsverordnung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Fahrzeuge dürfen andere Fahrzeuge, Kleinfahrzeuge ausgenommen, nur zum kurzen Verholen schleppen oder gekuppelt fortbewegen. § 13 Absatz 2 bleibt unberührt.</w:t>
      </w:r>
    </w:p>
    <w:p>
      <w:r>
        <w:rPr>
          <w:color w:val="555555"/>
          <w:sz w:val="17"/>
        </w:rPr>
        <w:t xml:space="preserve">Zitiervorschlag: § 9 SächsSchiffVO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https://recht.nulegal.eu/gesetze/S%C3%A4chsSchiffVO/9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SächsSchiffVO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