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Eingangsformel SächsSachVO (Sachsen)</w:t>
      </w:r>
    </w:p>
    <w:p>
      <w:r>
        <w:rPr>
          <w:color w:val="555555"/>
          <w:sz w:val="18"/>
        </w:rPr>
        <w:t xml:space="preserve">Verordnung des Sächsischen Staatsministeriums für Umwelt und Landwirtschaft über Sachverständige nach § 18 BBodSchG</w:t>
      </w:r>
    </w:p>
    <w:p>
      <w:r>
        <w:rPr>
          <w:color w:val="555555"/>
          <w:sz w:val="18"/>
        </w:rPr>
        <w:t xml:space="preserve">Landesrecht Sachsen</w:t>
      </w:r>
    </w:p>
    <w:p>
      <w:r>
        <w:rPr>
          <w:color w:val="555555"/>
          <w:sz w:val="18"/>
        </w:rPr>
        <w:t xml:space="preserve">Stand: 26.08.2026 (konsolidierte Textfassung, kein amtliches Inkrafttretensdatum)</w:t>
      </w:r>
    </w:p>
    <w:p>
      <w:r>
        <w:t xml:space="preserve">Aufgrund von § 13a Nr. 3 des Sächsischen Abfallwirtschafts- und Bodenschutzgesetzes ( SächsABG ) in der Fassung der Bekanntmachung vom 31. Mai 1999 (SächsGVBl. S. 262), das durch Artikel 21 des Gesetzes vom 28. Juni 2001 (SächsGVBl. S. 426, 428) geändert worden ist, in Verbindung mit § 18 Satz 2 des Gesetzes zum Schutz vor schädlichen Bodenveränderungen und zur Sanierung von Altlasten ( Bundes-Bodenschutzgesetz – BBodSchG ) vom 17. März 1998 (BGBl. I S. 502), das durch Artikel 17 des Gesetzes vom 9. September 2001 (BGBl. I S. 2331, 2334) geändert worden ist, sowie § 1 Abs. 4 des Gesetzes zur vorläufigen Regelung des Rechts der Industrie- und Handelskammern vom 18. Dezember 1956 (BGBl. I S. 920), das zuletzt durch Artikel 6 des Gesetzes vom 10. November 2001 (BGBl. I S. 2992, 2995) geändert worden ist, wird verordnet:</w:t>
      </w:r>
    </w:p>
    <w:p>
      <w:r>
        <w:rPr>
          <w:color w:val="555555"/>
          <w:sz w:val="17"/>
        </w:rPr>
        <w:t xml:space="preserve">Zitiervorschlag: Eingangsformel SächsSachVO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https://recht.nulegal.eu/gesetze/S%C3%A4chsSachVO/eingangsformel</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