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SächsSachVO (Sachsen) — Widerruf der Anerkennung der Sachverständigeneigenschaft</w:t>
      </w:r>
    </w:p>
    <w:p>
      <w:r>
        <w:rPr>
          <w:color w:val="555555"/>
          <w:sz w:val="18"/>
        </w:rPr>
        <w:t xml:space="preserve">Verordnung des Sächsischen Staatsministeriums für Umwelt und Landwirtschaft über Sachverständige nach § 18 BBodSchG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Sachverständige, bei denen Zweifel bestehen, ob sie noch die erforderliche Sachkunde oder Zuverlässigkeit besitzen oder noch über die erforderliche gerätetechnische Ausstattung verfügen, sind von der zuständigen Industrie- und Handelskammer aufzufordern, sich einer erneuten Überprüfung nach § 3 Abs. 1 zu unterziehen. Die Überprüfung kann sich auf die Bereiche beschränken, bei denen die Zweifel im Sinne von Satz 1 bestehen.</w:t>
      </w:r>
    </w:p>
    <w:p>
      <w:r>
        <w:t xml:space="preserve">(2) Zweifel an der erforderlichen Sachkunde bestehen auch dann, wenn der Sachverständige nicht an den nach § 5 vorgeschriebenen Fortbildungsveranstaltungen teilnimmt.</w:t>
      </w:r>
    </w:p>
    <w:p>
      <w:r>
        <w:t xml:space="preserve">(3) Stellt sich bei der Überprüfung nach Absatz 1 heraus, dass der Sachverständige nicht mehr die erforderliche Sachkunde oder Zuverlässigkeit besitzt oder nicht mehr über die erforderliche gerätetechnische Ausstattung verfügt, oder entzieht er sich dieser Überprüfung, ist die Anerkennung nach § 3 Abs. 4 von der zuständigen Industrie- und Handelskammer zu widerrufen. Der Widerruf ist entsprechend § 4 Abs. 1 bekannt zu geben.</w:t>
      </w:r>
    </w:p>
    <w:p>
      <w:r>
        <w:t xml:space="preserve">(4) Allgemeine Vorschriften über den Widerruf von Verwaltungsakten bleiben unberührt.</w:t>
      </w:r>
    </w:p>
    <w:p>
      <w:r>
        <w:rPr>
          <w:color w:val="555555"/>
          <w:sz w:val="17"/>
        </w:rPr>
        <w:t xml:space="preserve">Zitiervorschlag: § 7 SächsSachVO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https://recht.nulegal.eu/gesetze/S%C3%A4chsSachVO/7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