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SächsSachVO (Sachsen) — Erlöschen der Anerkennung der Sachverständigeneigenschaft</w:t>
      </w:r>
    </w:p>
    <w:p>
      <w:r>
        <w:rPr>
          <w:color w:val="555555"/>
          <w:sz w:val="18"/>
        </w:rPr>
        <w:t xml:space="preserve">Verordnung des Sächsischen Staatsministeriums für Umwelt und Landwirtschaft über Sachverständige nach § 18 BBodSchG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Anerkennung der Sachkunde, gerätetechnischen Ausstattung und Zuverlässigkeit eines Sachverständigen erlischt mit Ablauf des Monats, in dem der Sachverständige gegenüber der zuständigen Industrie- und Handelskammer schriftlich seinen Verzicht erklärt hat. Der Verzicht kann auch für einzelne Sachgebiete erklärt werden.</w:t>
      </w:r>
    </w:p>
    <w:p>
      <w:r>
        <w:t xml:space="preserve">(2) Das Erlöschen der Anerkennung nach Absatz 1 ist gemäß § 4 Abs. 1 bekannt zu geben.</w:t>
      </w:r>
    </w:p>
    <w:p>
      <w:r>
        <w:t xml:space="preserve">(3) Erlischt die Anerkennung der erforderlichen Sachkunde, Zuverlässigkeit und gerätetechnischen Ausstattung eines Sachverständigen nach § 1 Abs. 3 ganz oder teilweise in dem Bundesland, das diese Anerkennung getroffen hat, hat der Sachverständige dies der Industrie- und Handelskammer, die ihn nach § 4 Abs. 1 Satz 3 oder 4 im Freistaat Sachsen bekannt gegeben hat, unverzüglich mitzuteilen; die Industrie- und Handelskammer hat das Erlöschen entsprechend Absatz 4 bekannt zu geben.</w:t>
      </w:r>
    </w:p>
    <w:p>
      <w:r>
        <w:rPr>
          <w:color w:val="555555"/>
          <w:sz w:val="17"/>
        </w:rPr>
        <w:t xml:space="preserve">Zitiervorschlag: § 6 SächsSachVO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https://recht.nulegal.eu/gesetze/S%C3%A4chsSachVO/6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SächsSachVO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