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SächsSachVO (Sachsen) — Fortbildung</w:t>
      </w:r>
    </w:p>
    <w:p>
      <w:r>
        <w:rPr>
          <w:color w:val="555555"/>
          <w:sz w:val="18"/>
        </w:rPr>
        <w:t xml:space="preserve">Verordnung des Sächsischen Staatsministeriums für Umwelt und Landwirtschaft über Sachverständige nach § 18 BBodSchG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Sachverständigen haben dafür Sorge zu tragen, dass sie stets die aktuell erforderliche Sachkunde besitzen. Hierzu haben sie mindestens alle zwei Jahre ab Zustellung des Bescheides nach § 3 Abs. 4 an einer geeigneten Fortbildung in den Sachgebieten, für die die erforderliche Sachkunde, Zuverlässigkeit und gerätetechnische Ausstattung festgestellt wurden, teilzunehmen. Der Sachverständige hat die Teilnahme der zuständigen Industrie- und Handelskammer unaufgefordert nachzuweisen.</w:t>
      </w:r>
    </w:p>
    <w:p>
      <w:r>
        <w:rPr>
          <w:color w:val="555555"/>
          <w:sz w:val="17"/>
        </w:rPr>
        <w:t xml:space="preserve">Zitiervorschlag: § 5 SächsSachVO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https://recht.nulegal.eu/gesetze/S%C3%A4chsSachVO/5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SächsSachVO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