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SächsSachVO (Sachsen) — Bekanntgabe der Sachverständigen</w:t>
      </w:r>
    </w:p>
    <w:p>
      <w:r>
        <w:rPr>
          <w:color w:val="555555"/>
          <w:sz w:val="18"/>
        </w:rPr>
        <w:t xml:space="preserve">Verordnung des Sächsischen Staatsministeriums für Umwelt und Landwirtschaft über Sachverständige nach § 18 BBodSchG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Sachverständigen, deren Sachkunde, Zuverlässigkeit und gerätetechnische Ausstattung nach § 3 festgestellt wurden, sind von der zuständigen Industrie- und Handelskammer in ihrem regelmäßig erscheinenden Veröffentlichungsblatt bekannt zu geben. In der Bekanntmachung sind die Sachgebiete nach § 1 Abs. 2 zu bezeichnen, für die die erforderliche Sachkunde und gerätetechnische Ausstattung festgestellt wurden. Sachverständige nach § 1 Abs. 3 sind auf Antrag von der Industrie- und Handelskammer bekannt zu geben, in deren Kammerbezirk sie ihre Hauptniederlassung oder, falls eine solche nicht besteht, ihren Hauptwohnsitz haben. Sachverständige nach § 1 Abs. 3, die im Freistaat Sachsen weder ihre Hauptniederlassung noch ihren Hauptwohnsitz haben, sind von der Industrie- und Handelskammer bekannt zu geben, bei der sie dies zuerst beantragen.</w:t>
      </w:r>
    </w:p>
    <w:p>
      <w:r>
        <w:t xml:space="preserve">(2) Interessenten sind von den Industrie- und Handelskammern auf Anforderung vollständige und aktuelle Listen der von ihnen nach Absatz 1 für ein oder mehrere Sachgebiete bekannt gegebenen Sachverständigen zu übermitteln. Die Industrie- und Handelskammern können diese Listen auch im Internet oder auf andere Weise allgemein zugänglich machen sowie gemeinsame Listen führen.</w:t>
      </w:r>
    </w:p>
    <w:p>
      <w:r>
        <w:rPr>
          <w:color w:val="555555"/>
          <w:sz w:val="17"/>
        </w:rPr>
        <w:t xml:space="preserve">Zitiervorschlag: § 4 SächsSachVO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https://recht.nulegal.eu/gesetze/S%C3%A4chsSachVO/4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