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SächsSachVO (Sachsen) — Anforderungen an Sachverständige</w:t>
      </w:r>
    </w:p>
    <w:p>
      <w:r>
        <w:rPr>
          <w:color w:val="555555"/>
          <w:sz w:val="18"/>
        </w:rPr>
        <w:t xml:space="preserve">Verordnung des Sächsischen Staatsministeriums für Umwelt und Landwirtschaft über Sachverständige nach § 18 BBodSchG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 Sachverständiger besitzt die erforderliche Sachkunde und verfügt über die erforderliche gerätetechnische Ausstattung, wenn er die in der Anlage zu dieser Verordnung genannten Anforderungen erfüllt.</w:t>
      </w:r>
    </w:p>
    <w:p>
      <w:r>
        <w:t xml:space="preserve">(2) Ein Sachverständiger besitzt die erforderliche Zuverlässigkeit, wenn er aufgrund seiner persönlichen Eigenschaften, seines Verhaltens und seiner Fähigkeiten zur ordnungsgemäßen Erfüllung der von ihm wahrzunehmenden Aufgaben geeignet ist.</w:t>
      </w:r>
    </w:p>
    <w:p>
      <w:r>
        <w:t xml:space="preserve">(3) Anerkannte Sachverständige müssen eine Haftpflichtversicherung für Personen-, Sach- und Vermögensschäden in angemessener Höhe abschließen und während der Zeit der Anerkennung aufrechterhalten. Sie müssen die Versicherung in regelmäßigen Abständen auf Angemessenheit prüfen.</w:t>
      </w:r>
    </w:p>
    <w:p>
      <w:r>
        <w:t xml:space="preserve">(4) Das Anerkennungsverfahren kann auch über die einheitliche Stelle nach § 1 Absatz 1 des Gesetzes über den einheitlichen Ansprechpartner im Freistaat Sachsen vom 13. August 2009 (SächsGVBl. S. 446), das zuletzt durch Artikel 2 Absatz 2 des Gesetzes vom 5. April 2019 (SächsGVBl. S. 245) geändert worden ist, in der jeweils geltenden Fassung, abgewickelt werden.</w:t>
      </w:r>
    </w:p>
    <w:p>
      <w:r>
        <w:rPr>
          <w:color w:val="555555"/>
          <w:sz w:val="17"/>
        </w:rPr>
        <w:t xml:space="preserve">Zitiervorschlag: § 2 SächsSachVO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https://recht.nulegal.eu/gesetze/S%C3%A4chsSachVO/2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