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SächsSWG (Sachsen) — Einschränkung von Grundrechten</w:t>
      </w:r>
    </w:p>
    <w:p>
      <w:r>
        <w:rPr>
          <w:color w:val="555555"/>
          <w:sz w:val="18"/>
        </w:rPr>
        <w:t xml:space="preserve">Sächsisches Sicherheitswachtgesetz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dieses Gesetzes können das Recht auf körperliche Unversehrtheit (Artikel 2 Abs. 2 Satz 1 des Grundgesetzes , Artikel 16 Abs. 1 Satz 1 der Verfassung des Freistaates Sachsen ), die Freiheit der Person (Artikel 2 Abs. 2 Satz 2 des Grundgesetzes , Artikel 17 Abs. 1 der Verfassung des Freistaates Sachsen ) und das Recht auf informationelle Selbstbestimmung (Artikel 2 Abs. 1 in Verbindung mit Artikel 1 Abs. 1 des Grundgesetzes , Artikel 33 der Verfassung des Freistaates Sachsen ) eingeschränkt werden.</w:t>
      </w:r>
    </w:p>
    <w:p>
      <w:r>
        <w:rPr>
          <w:color w:val="555555"/>
          <w:sz w:val="17"/>
        </w:rPr>
        <w:t xml:space="preserve">Zitiervorschlag: § 17 SächsSWG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https://recht.nulegal.eu/gesetze/S%C3%A4chsSWG/17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