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SächsSWG (Sachsen) — Kennzeichnung und Ausrüstung</w:t>
      </w:r>
    </w:p>
    <w:p>
      <w:r>
        <w:rPr>
          <w:color w:val="555555"/>
          <w:sz w:val="18"/>
        </w:rPr>
        <w:t xml:space="preserve">Sächsisches Sicherheitswachtgesetz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Angehörigen der Sächsischen Sicherheitswacht tragen während ihrer Tätigkeit eine Kennzeichnung, die ihre Eigenschaft als Angehörige der Sächsischen Sicherheitswacht deutlich macht; sie dürfen keine politischen Abzeichen tragen.</w:t>
      </w:r>
    </w:p>
    <w:p>
      <w:r>
        <w:t xml:space="preserve">(2) Die Angehörigen der Sächsischen Sicherheitswacht führen keine Schuß-, Hieb- und Stoßwaffen mit sich.</w:t>
      </w:r>
    </w:p>
    <w:p>
      <w:r>
        <w:rPr>
          <w:color w:val="555555"/>
          <w:sz w:val="17"/>
        </w:rPr>
        <w:t xml:space="preserve">Zitiervorschlag: § 14 SächsSWG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https://recht.nulegal.eu/gesetze/S%C3%A4chsSWG/14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