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SächsSFG (Sachsen)</w:t>
      </w:r>
    </w:p>
    <w:p>
      <w:r>
        <w:rPr>
          <w:color w:val="555555"/>
          <w:sz w:val="18"/>
        </w:rPr>
        <w:t xml:space="preserve">Gesetz über Sonn- und Feiertage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Oktober 1992 das folgende Gesetz beschlossen:</w:t>
      </w:r>
    </w:p>
    <w:p>
      <w:r>
        <w:rPr>
          <w:color w:val="555555"/>
          <w:sz w:val="17"/>
        </w:rPr>
        <w:t xml:space="preserve">Zitiervorschlag: Eingangsformel SächsSFG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