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SächsSFG (Sachsen) — Grundrechtseinschränkung</w:t>
      </w:r>
    </w:p>
    <w:p>
      <w:r>
        <w:rPr>
          <w:color w:val="555555"/>
          <w:sz w:val="18"/>
        </w:rPr>
        <w:t xml:space="preserve">Gesetz über Sonn- und Feiertage im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Grundrecht der Versammlungsfreiheit (Artikel 8 Abs. 2 des Grundgesetzes und Artikel 23 Abs. 2 der Verfassung des Freistaates Sachsen ) wird nach Maßgabe der §§ 5 und 6 eingeschränkt.</w:t>
      </w:r>
    </w:p>
    <w:p>
      <w:r>
        <w:rPr>
          <w:color w:val="555555"/>
          <w:sz w:val="17"/>
        </w:rPr>
        <w:t xml:space="preserve">Zitiervorschlag: § 9 SächsSFG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https://recht.nulegal.eu/gesetze/S%C3%A4chsSFG/9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