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SächsSFG (Sachsen) — Befreiungen</w:t>
      </w:r>
    </w:p>
    <w:p>
      <w:r>
        <w:rPr>
          <w:color w:val="555555"/>
          <w:sz w:val="18"/>
        </w:rPr>
        <w:t xml:space="preserve">Gesetz über Sonn- und Feiertage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Kreispolizeibehörden können im Einzelfall aus wichtigem Grund von den Verbotsvorschriften der §§ 4 und 6 befreien.</w:t>
      </w:r>
    </w:p>
    <w:p>
      <w:r>
        <w:t xml:space="preserve">(2) Vor der Erteilung einer Befreiung sind die betroffenen Religionsgemeinschaften zu hören. Dies gilt nicht, soweit sich die Befreiung auf den 1. Mai oder den 3. Oktober bezieht.</w:t>
      </w:r>
    </w:p>
    <w:p>
      <w:r>
        <w:rPr>
          <w:color w:val="555555"/>
          <w:sz w:val="17"/>
        </w:rPr>
        <w:t xml:space="preserve">Zitiervorschlag: § 7 SächsSFG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https://recht.nulegal.eu/gesetze/S%C3%A4chsSFG/7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