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SächsSFG (Sachsen) — Besondere Schutzvorschriften</w:t>
      </w:r>
    </w:p>
    <w:p>
      <w:r>
        <w:rPr>
          <w:color w:val="555555"/>
          <w:sz w:val="18"/>
        </w:rPr>
        <w:t xml:space="preserve">Gesetz über Sonn- und Feiertage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Am Karfreitag, am Buß- und Bettag und an den Gedenk- und Trauertagen nach § 2 Nummer 1 und 2 sind verboten:</w:t>
      </w:r>
    </w:p>
    <w:p>
      <w:r>
        <w:t xml:space="preserve">1. öffentliche Tanzveranstaltungen und andere öffentliche Vergnügungen, die dem ernsten Charakter dieser Tage zuwiderlaufen, am Karfreitag während des ganzen Tages, an den übrigen Tagen von 3.00 Uhr bis 24.00 Uhr;</w:t>
      </w:r>
    </w:p>
    <w:p>
      <w:r>
        <w:t xml:space="preserve">2. öffentliche Sportveranstaltungen am Karfreitag während des ganzen Tages, an den übrigen Tagen bis 11.00 Uhr.</w:t>
      </w:r>
    </w:p>
    <w:p>
      <w:r>
        <w:rPr>
          <w:color w:val="555555"/>
          <w:sz w:val="17"/>
        </w:rPr>
        <w:t xml:space="preserve">Zitiervorschlag: § 6 SächsSFG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https://recht.nulegal.eu/gesetze/S%C3%A4chsSFG/6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