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2a SächsSFG (Sachsen) — Örtlicher Gedenktag an die friedliche Revolution 1989</w:t>
      </w:r>
    </w:p>
    <w:p>
      <w:r>
        <w:rPr>
          <w:color w:val="555555"/>
          <w:sz w:val="18"/>
        </w:rPr>
        <w:t xml:space="preserve">Gesetz über Sonn- und Feiertage im Freistaat Sachsen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Gemeinden können einen örtlichen Gedenktag zur Erinnerung an die friedliche Revolution des Jahres 1989 durch Satzung bestimmen.</w:t>
      </w:r>
    </w:p>
    <w:p>
      <w:r>
        <w:rPr>
          <w:color w:val="555555"/>
          <w:sz w:val="17"/>
        </w:rPr>
        <w:t xml:space="preserve">Zitiervorschlag: § 2a SächsSFG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https://recht.nulegal.eu/gesetze/S%C3%A4chsSFG/2a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