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SächsSFG (Sachsen) — Gedenk- und Trauertage</w:t>
      </w:r>
    </w:p>
    <w:p>
      <w:r>
        <w:rPr>
          <w:color w:val="555555"/>
          <w:sz w:val="18"/>
        </w:rPr>
        <w:t xml:space="preserve">Gesetz über Sonn- und Feiertage im Freistaat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Gedenk- und Trauertage im Sinne dieses Gesetzes sind:</w:t>
      </w:r>
    </w:p>
    <w:p>
      <w:r>
        <w:t xml:space="preserve">1. der Volkstrauertag (vorletzter Sonntag vor dem 1. Advent),</w:t>
      </w:r>
    </w:p>
    <w:p>
      <w:r>
        <w:t xml:space="preserve">2. der Totensonntag (letzter Sonntag vor dem 1. Advent),</w:t>
      </w:r>
    </w:p>
    <w:p>
      <w:r>
        <w:t xml:space="preserve">3. der 8. Mai als Tag der Befreiung vom Nationalsozialismus und der Beendigung des Zweiten Weltkriegs in Europa.</w:t>
      </w:r>
    </w:p>
    <w:p>
      <w:r>
        <w:rPr>
          <w:color w:val="555555"/>
          <w:sz w:val="17"/>
        </w:rPr>
        <w:t xml:space="preserve">Zitiervorschlag: § 2 SächsSFG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https://recht.nulegal.eu/gesetze/S%C3%A4chsSFG/2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