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SächsSFG (Sachsen) — Außerkrafttreten von Rechtsvorschriften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Rechtsvorschriften treten außer Kraft:</w:t>
      </w:r>
    </w:p>
    <w:p>
      <w:r>
        <w:t xml:space="preserve">1. § 168 Abs. 2 des Arbeitsgesetzbuches der Deutschen Demokratischen Republik vom 16. Juni 1977 (GBl. I Nr. 18 S. 185), zuletzt geändert durch Gesetz vom 22. Juni 1990 (GBl. I Nr. 35 S. 371),</w:t>
      </w:r>
    </w:p>
    <w:p>
      <w:r>
        <w:t xml:space="preserve">2. Verordnung über die Einführung gesetzlicher Feiertage vom 16. Mai 1990 (GBl. I Nr. 27 S. 248),</w:t>
      </w:r>
    </w:p>
    <w:p>
      <w:r>
        <w:t xml:space="preserve">3. Erste Durchführungsbestimmung vom 7. Juni 1990 zur Verordnung über die Einführung gesetzlicher Feiertage (GBl. I Nr. 31 S.281).</w:t>
      </w:r>
    </w:p>
    <w:p>
      <w:r>
        <w:rPr>
          <w:color w:val="555555"/>
          <w:sz w:val="17"/>
        </w:rPr>
        <w:t xml:space="preserve">Zitiervorschlag: § 10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SächsSFG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