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SächsRiG (Sachsen) — Verbot der Amtsausübung</w:t>
      </w:r>
    </w:p>
    <w:p>
      <w:r>
        <w:rPr>
          <w:color w:val="555555"/>
          <w:sz w:val="18"/>
        </w:rPr>
        <w:t xml:space="preserve">Sächsisches Richtergesetz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Mitglied eines Dienstgerichts, gegen das eine Disziplinarklage erhoben oder wegen eines Verbrechens oder vorsätzlichen Vergehens ein Strafverfahren eingeleitet oder dem die Führung seiner Amtsgeschäfte nach § 35 des Deutschen Richtergesetzes vorläufig untersagt ist, kann während dieses Verfahrens und der Dauer der Untersagung sein Amt nicht ausüben.</w:t>
      </w:r>
    </w:p>
    <w:p>
      <w:r>
        <w:rPr>
          <w:color w:val="555555"/>
          <w:sz w:val="17"/>
        </w:rPr>
        <w:t xml:space="preserve">Zitiervorschlag: § 49 SächsRiG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https://recht.nulegal.eu/gesetze/S%C3%A4chsRiG/49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