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SächsRiG (Sachsen) — Geltung des Sächsischen Personalvertretungsgesetzes</w:t>
      </w:r>
    </w:p>
    <w:p>
      <w:r>
        <w:rPr>
          <w:color w:val="555555"/>
          <w:sz w:val="18"/>
        </w:rPr>
        <w:t xml:space="preserve">Sächsisches Richtergesetz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aus dem Deutschen Richtergesetz sowie aus diesem Gesetz nichts Anderes ergibt, sind für den Richterrat und den Landesrichterrat die Vorschriften des Sächsischen Personalvertretungsgesetzes entsprechend anzuwenden.</w:t>
      </w:r>
    </w:p>
    <w:p>
      <w:r>
        <w:rPr>
          <w:color w:val="555555"/>
          <w:sz w:val="17"/>
        </w:rPr>
        <w:t xml:space="preserve">Zitiervorschlag: § 21 SächsRiG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https://recht.nulegal.eu/gesetze/S%C3%A4chsRiG/21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