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SächsRiG (Sachsen) — Geltungsbereich</w:t>
      </w:r>
    </w:p>
    <w:p>
      <w:r>
        <w:rPr>
          <w:color w:val="555555"/>
          <w:sz w:val="18"/>
        </w:rPr>
        <w:t xml:space="preserve">Sächsisches Richtergesetz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gilt, soweit es nichts Anderes bestimmt, für die Berufsrichterinnen und Berufsrichter im Landesdienst. Für Staatsanwältinnen und Staatsanwälte gilt es, soweit es besonders bestimmt ist.</w:t>
      </w:r>
    </w:p>
    <w:p>
      <w:r>
        <w:rPr>
          <w:color w:val="555555"/>
          <w:sz w:val="17"/>
        </w:rPr>
        <w:t xml:space="preserve">Zitiervorschlag: § 2 SächsRiG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https://recht.nulegal.eu/gesetze/S%C3%A4chsRiG/2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